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53BA295F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>
        <w:tab/>
      </w: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</w:t>
      </w:r>
      <w:r w:rsidR="00E40806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</w:t>
      </w:r>
      <w:r w:rsidR="001F3A6C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 w:rsidRPr="71571CDB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FC7CE9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E40806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21</w:t>
      </w:r>
      <w:r w:rsidR="001F3A6C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E40806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července</w:t>
      </w:r>
      <w:r w:rsidR="00C70503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FC7CE9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2022</w:t>
      </w:r>
    </w:p>
    <w:p w14:paraId="76A8C05F" w14:textId="73A81ECE" w:rsidR="008A65F0" w:rsidRPr="009D4566" w:rsidRDefault="008A65F0" w:rsidP="009D4566">
      <w:pPr>
        <w:pStyle w:val="Standard"/>
        <w:spacing w:line="276" w:lineRule="auto"/>
        <w:jc w:val="center"/>
        <w:rPr>
          <w:rFonts w:ascii="Arial" w:hAnsi="Arial" w:cs="Arial"/>
          <w:sz w:val="28"/>
          <w:szCs w:val="28"/>
        </w:rPr>
      </w:pPr>
    </w:p>
    <w:p w14:paraId="59C1DA12" w14:textId="20C3DE3A" w:rsidR="00DF3AF9" w:rsidRPr="00FC7CE9" w:rsidRDefault="00FC7CE9" w:rsidP="710142C6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  <w:r w:rsidRPr="00FC7CE9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AFI Europe zkolaudovala </w:t>
      </w:r>
      <w:r w:rsidR="00E53A6C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SVŮJ první </w:t>
      </w:r>
      <w:r w:rsidRPr="00FC7CE9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projekt </w:t>
      </w:r>
      <w:r w:rsidR="00E53A6C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NÁJEMNÍHO BYDLENÍ: </w:t>
      </w:r>
      <w:r w:rsidRPr="00FC7CE9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AFIHOME Třebešín</w:t>
      </w:r>
    </w:p>
    <w:p w14:paraId="4EF28EF3" w14:textId="1A91603E" w:rsidR="00D57E97" w:rsidRPr="00D30492" w:rsidRDefault="009D4566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br/>
      </w:r>
      <w:r w:rsidR="000628A4" w:rsidRPr="00D30492">
        <w:rPr>
          <w:rFonts w:ascii="Arial" w:eastAsia="Arial" w:hAnsi="Arial" w:cs="Arial"/>
          <w:b/>
          <w:bCs/>
          <w:sz w:val="22"/>
          <w:szCs w:val="22"/>
        </w:rPr>
        <w:t>Developerská</w:t>
      </w:r>
      <w:r w:rsidR="00EF1B2F">
        <w:rPr>
          <w:rFonts w:ascii="Arial" w:eastAsia="Arial" w:hAnsi="Arial" w:cs="Arial"/>
          <w:b/>
          <w:bCs/>
          <w:sz w:val="22"/>
          <w:szCs w:val="22"/>
        </w:rPr>
        <w:t xml:space="preserve"> společnost AFI Europe dokončila již pátou</w:t>
      </w:r>
      <w:r w:rsidR="26AFD5D3" w:rsidRPr="00D304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490F43D2" w:rsidRPr="00D30492">
        <w:rPr>
          <w:rFonts w:ascii="Arial" w:eastAsia="Arial" w:hAnsi="Arial" w:cs="Arial"/>
          <w:b/>
          <w:bCs/>
          <w:sz w:val="22"/>
          <w:szCs w:val="22"/>
        </w:rPr>
        <w:t xml:space="preserve">a zároveň poslední </w:t>
      </w:r>
      <w:r w:rsidR="00EF1B2F">
        <w:rPr>
          <w:rFonts w:ascii="Arial" w:eastAsia="Arial" w:hAnsi="Arial" w:cs="Arial"/>
          <w:b/>
          <w:bCs/>
          <w:sz w:val="22"/>
          <w:szCs w:val="22"/>
        </w:rPr>
        <w:t>etapu</w:t>
      </w:r>
      <w:r w:rsidR="000628A4" w:rsidRPr="00D30492">
        <w:rPr>
          <w:rFonts w:ascii="Arial" w:eastAsia="Arial" w:hAnsi="Arial" w:cs="Arial"/>
          <w:b/>
          <w:bCs/>
          <w:sz w:val="22"/>
          <w:szCs w:val="22"/>
        </w:rPr>
        <w:t xml:space="preserve"> rezidenčního projektu Tulipa Třebešín</w:t>
      </w:r>
      <w:r w:rsidR="30CB252C" w:rsidRPr="00D30492">
        <w:rPr>
          <w:rFonts w:ascii="Arial" w:eastAsia="Arial" w:hAnsi="Arial" w:cs="Arial"/>
          <w:b/>
          <w:bCs/>
          <w:sz w:val="22"/>
          <w:szCs w:val="22"/>
        </w:rPr>
        <w:t xml:space="preserve">. Ta </w:t>
      </w:r>
      <w:r w:rsidR="35A0CCFC" w:rsidRPr="00D30492">
        <w:rPr>
          <w:rFonts w:ascii="Arial" w:eastAsia="Arial" w:hAnsi="Arial" w:cs="Arial"/>
          <w:b/>
          <w:bCs/>
          <w:sz w:val="22"/>
          <w:szCs w:val="22"/>
        </w:rPr>
        <w:t xml:space="preserve">je </w:t>
      </w:r>
      <w:r w:rsidR="00EF1B2F">
        <w:rPr>
          <w:rFonts w:ascii="Arial" w:eastAsia="Arial" w:hAnsi="Arial" w:cs="Arial"/>
          <w:b/>
          <w:bCs/>
          <w:sz w:val="22"/>
          <w:szCs w:val="22"/>
        </w:rPr>
        <w:t xml:space="preserve">(na rozdíl od prvních čtyř již hotových etap) určena výhradně pro nájemní bydlení. AFI Europe tak </w:t>
      </w:r>
      <w:r w:rsidR="35A0CCFC" w:rsidRPr="00D30492">
        <w:rPr>
          <w:rFonts w:ascii="Arial" w:eastAsia="Arial" w:hAnsi="Arial" w:cs="Arial"/>
          <w:b/>
          <w:bCs/>
          <w:sz w:val="22"/>
          <w:szCs w:val="22"/>
        </w:rPr>
        <w:t xml:space="preserve">uzavírá </w:t>
      </w:r>
      <w:r w:rsidR="0AD4F9B7" w:rsidRPr="00D30492">
        <w:rPr>
          <w:rFonts w:ascii="Arial" w:eastAsia="Arial" w:hAnsi="Arial" w:cs="Arial"/>
          <w:b/>
          <w:bCs/>
          <w:sz w:val="22"/>
          <w:szCs w:val="22"/>
        </w:rPr>
        <w:t xml:space="preserve">rozsáhlou </w:t>
      </w:r>
      <w:r w:rsidR="00EF1B2F">
        <w:rPr>
          <w:rFonts w:ascii="Arial" w:eastAsia="Arial" w:hAnsi="Arial" w:cs="Arial"/>
          <w:b/>
          <w:bCs/>
          <w:sz w:val="22"/>
          <w:szCs w:val="22"/>
        </w:rPr>
        <w:t>výstavbu na pěti</w:t>
      </w:r>
      <w:r w:rsidR="35A0CCFC" w:rsidRPr="00D30492">
        <w:rPr>
          <w:rFonts w:ascii="Arial" w:eastAsia="Arial" w:hAnsi="Arial" w:cs="Arial"/>
          <w:b/>
          <w:bCs/>
          <w:sz w:val="22"/>
          <w:szCs w:val="22"/>
        </w:rPr>
        <w:t>hektarovém městském brownfieldu v Praze 3 - Strašnicích.</w:t>
      </w:r>
      <w:r w:rsidR="646C0A0E" w:rsidRPr="00D304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57955" w:rsidRPr="00D30492">
        <w:rPr>
          <w:rFonts w:ascii="Arial" w:eastAsia="Arial" w:hAnsi="Arial" w:cs="Arial"/>
          <w:b/>
          <w:bCs/>
          <w:sz w:val="22"/>
          <w:szCs w:val="22"/>
        </w:rPr>
        <w:t xml:space="preserve">Osmipodlažní budova </w:t>
      </w:r>
      <w:r w:rsidR="00BB41DD">
        <w:rPr>
          <w:rFonts w:ascii="Arial" w:eastAsia="Arial" w:hAnsi="Arial" w:cs="Arial"/>
          <w:b/>
          <w:bCs/>
          <w:sz w:val="22"/>
          <w:szCs w:val="22"/>
        </w:rPr>
        <w:t xml:space="preserve">AFIHOME Třebešín </w:t>
      </w:r>
      <w:r w:rsidR="00157955" w:rsidRPr="00D30492">
        <w:rPr>
          <w:rFonts w:ascii="Arial" w:eastAsia="Arial" w:hAnsi="Arial" w:cs="Arial"/>
          <w:b/>
          <w:bCs/>
          <w:sz w:val="22"/>
          <w:szCs w:val="22"/>
        </w:rPr>
        <w:t xml:space="preserve">se samostatným objektem </w:t>
      </w:r>
      <w:r w:rsidR="00EF1B2F">
        <w:rPr>
          <w:rFonts w:ascii="Arial" w:eastAsia="Arial" w:hAnsi="Arial" w:cs="Arial"/>
          <w:b/>
          <w:bCs/>
          <w:sz w:val="22"/>
          <w:szCs w:val="22"/>
        </w:rPr>
        <w:t>garáží nabídne celkem 61 bytů v </w:t>
      </w:r>
      <w:r w:rsidR="00157955" w:rsidRPr="00D30492">
        <w:rPr>
          <w:rFonts w:ascii="Arial" w:eastAsia="Arial" w:hAnsi="Arial" w:cs="Arial"/>
          <w:b/>
          <w:bCs/>
          <w:sz w:val="22"/>
          <w:szCs w:val="22"/>
        </w:rPr>
        <w:t xml:space="preserve">dispozicích od 1+kk do 3+kk, které </w:t>
      </w:r>
      <w:r w:rsidR="00D30492" w:rsidRPr="00D30492">
        <w:rPr>
          <w:rFonts w:ascii="Arial" w:eastAsia="Arial" w:hAnsi="Arial" w:cs="Arial"/>
          <w:b/>
          <w:bCs/>
          <w:sz w:val="22"/>
          <w:szCs w:val="22"/>
        </w:rPr>
        <w:t>je možné pronajmout plně</w:t>
      </w:r>
      <w:r w:rsidR="008B7576">
        <w:rPr>
          <w:rFonts w:ascii="Arial" w:eastAsia="Arial" w:hAnsi="Arial" w:cs="Arial"/>
          <w:b/>
          <w:bCs/>
          <w:sz w:val="22"/>
          <w:szCs w:val="22"/>
        </w:rPr>
        <w:t>, nebo i částečně</w:t>
      </w:r>
      <w:r w:rsidR="00D30492" w:rsidRPr="00D30492">
        <w:rPr>
          <w:rFonts w:ascii="Arial" w:eastAsia="Arial" w:hAnsi="Arial" w:cs="Arial"/>
          <w:b/>
          <w:bCs/>
          <w:sz w:val="22"/>
          <w:szCs w:val="22"/>
        </w:rPr>
        <w:t xml:space="preserve"> zařízené</w:t>
      </w:r>
      <w:r w:rsidR="00BB41DD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r w:rsidR="00EF1B2F">
        <w:rPr>
          <w:rFonts w:ascii="Arial" w:eastAsia="Arial" w:hAnsi="Arial" w:cs="Arial"/>
          <w:b/>
          <w:bCs/>
          <w:sz w:val="22"/>
          <w:szCs w:val="22"/>
        </w:rPr>
        <w:t xml:space="preserve">Generálním </w:t>
      </w:r>
      <w:r w:rsidR="00D30492">
        <w:rPr>
          <w:rFonts w:ascii="Arial" w:eastAsia="Arial" w:hAnsi="Arial" w:cs="Arial"/>
          <w:b/>
          <w:bCs/>
          <w:sz w:val="22"/>
          <w:szCs w:val="22"/>
        </w:rPr>
        <w:t>dodavatel</w:t>
      </w:r>
      <w:r w:rsidR="00EF1B2F">
        <w:rPr>
          <w:rFonts w:ascii="Arial" w:eastAsia="Arial" w:hAnsi="Arial" w:cs="Arial"/>
          <w:b/>
          <w:bCs/>
          <w:sz w:val="22"/>
          <w:szCs w:val="22"/>
        </w:rPr>
        <w:t>em byla společnost</w:t>
      </w:r>
      <w:r w:rsidR="00D30492">
        <w:rPr>
          <w:rFonts w:ascii="Arial" w:eastAsia="Arial" w:hAnsi="Arial" w:cs="Arial"/>
          <w:b/>
          <w:bCs/>
          <w:sz w:val="22"/>
          <w:szCs w:val="22"/>
        </w:rPr>
        <w:t xml:space="preserve"> Imos Brno</w:t>
      </w:r>
      <w:r w:rsidR="00EF1B2F">
        <w:rPr>
          <w:rFonts w:ascii="Arial" w:eastAsia="Arial" w:hAnsi="Arial" w:cs="Arial"/>
          <w:b/>
          <w:bCs/>
          <w:sz w:val="22"/>
          <w:szCs w:val="22"/>
        </w:rPr>
        <w:t>. Ta zodpovídala za</w:t>
      </w:r>
      <w:r w:rsidR="00D30492">
        <w:rPr>
          <w:rFonts w:ascii="Arial" w:eastAsia="Arial" w:hAnsi="Arial" w:cs="Arial"/>
          <w:b/>
          <w:bCs/>
          <w:sz w:val="22"/>
          <w:szCs w:val="22"/>
        </w:rPr>
        <w:t xml:space="preserve"> celkovou stavbu</w:t>
      </w:r>
      <w:r w:rsidR="00EF1B2F">
        <w:rPr>
          <w:rFonts w:ascii="Arial" w:eastAsia="Arial" w:hAnsi="Arial" w:cs="Arial"/>
          <w:b/>
          <w:bCs/>
          <w:sz w:val="22"/>
          <w:szCs w:val="22"/>
        </w:rPr>
        <w:t>, zatímco interiéry dodávala firma XXXLutz.</w:t>
      </w:r>
      <w:r w:rsidR="00E53A6C">
        <w:rPr>
          <w:rFonts w:ascii="Arial" w:eastAsia="Arial" w:hAnsi="Arial" w:cs="Arial"/>
          <w:b/>
          <w:bCs/>
          <w:sz w:val="22"/>
          <w:szCs w:val="22"/>
        </w:rPr>
        <w:t xml:space="preserve"> Zájemci se budou moci nastěhovat od letošního podzimu, ale již nyní </w:t>
      </w:r>
      <w:r w:rsidR="00E05BFC">
        <w:rPr>
          <w:rFonts w:ascii="Arial" w:eastAsia="Arial" w:hAnsi="Arial" w:cs="Arial"/>
          <w:b/>
          <w:bCs/>
          <w:sz w:val="22"/>
          <w:szCs w:val="22"/>
        </w:rPr>
        <w:t xml:space="preserve">si mohou </w:t>
      </w:r>
      <w:r w:rsidR="00E53A6C">
        <w:rPr>
          <w:rFonts w:ascii="Arial" w:eastAsia="Arial" w:hAnsi="Arial" w:cs="Arial"/>
          <w:b/>
          <w:bCs/>
          <w:sz w:val="22"/>
          <w:szCs w:val="22"/>
        </w:rPr>
        <w:t xml:space="preserve">přijít prohlédnout </w:t>
      </w:r>
      <w:r w:rsidR="00E05BFC">
        <w:rPr>
          <w:rFonts w:ascii="Arial" w:eastAsia="Arial" w:hAnsi="Arial" w:cs="Arial"/>
          <w:b/>
          <w:bCs/>
          <w:sz w:val="22"/>
          <w:szCs w:val="22"/>
        </w:rPr>
        <w:t xml:space="preserve">nedávno dokončený vzorový byt. </w:t>
      </w:r>
      <w:r w:rsidR="00BB41DD">
        <w:rPr>
          <w:rFonts w:ascii="Arial" w:eastAsia="Arial" w:hAnsi="Arial" w:cs="Arial"/>
          <w:b/>
          <w:bCs/>
          <w:sz w:val="22"/>
          <w:szCs w:val="22"/>
        </w:rPr>
        <w:t xml:space="preserve">Celková investice AFI Europe </w:t>
      </w:r>
      <w:r w:rsidR="00E53A6C">
        <w:rPr>
          <w:rFonts w:ascii="Arial" w:eastAsia="Arial" w:hAnsi="Arial" w:cs="Arial"/>
          <w:b/>
          <w:bCs/>
          <w:sz w:val="22"/>
          <w:szCs w:val="22"/>
        </w:rPr>
        <w:t xml:space="preserve">do páté etapy </w:t>
      </w:r>
      <w:r w:rsidR="00E05BFC">
        <w:rPr>
          <w:rFonts w:ascii="Arial" w:eastAsia="Arial" w:hAnsi="Arial" w:cs="Arial"/>
          <w:b/>
          <w:bCs/>
          <w:sz w:val="22"/>
          <w:szCs w:val="22"/>
        </w:rPr>
        <w:t>přesáhla</w:t>
      </w:r>
      <w:r w:rsidR="000628A4" w:rsidRPr="00D3049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0628A4" w:rsidRPr="00F41D07">
        <w:rPr>
          <w:rFonts w:ascii="Arial" w:eastAsia="Arial" w:hAnsi="Arial" w:cs="Arial"/>
          <w:b/>
          <w:bCs/>
          <w:sz w:val="22"/>
          <w:szCs w:val="22"/>
        </w:rPr>
        <w:t>250</w:t>
      </w:r>
      <w:r w:rsidR="000628A4" w:rsidRPr="00D30492">
        <w:rPr>
          <w:rFonts w:ascii="Arial" w:eastAsia="Arial" w:hAnsi="Arial" w:cs="Arial"/>
          <w:b/>
          <w:bCs/>
          <w:sz w:val="22"/>
          <w:szCs w:val="22"/>
        </w:rPr>
        <w:t xml:space="preserve"> milionů korun.</w:t>
      </w:r>
    </w:p>
    <w:p w14:paraId="5DFA9406" w14:textId="77777777" w:rsidR="00157955" w:rsidRDefault="00157955" w:rsidP="00D57E97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2F89649" w14:textId="43425EF1" w:rsidR="005D08F0" w:rsidRPr="0025580E" w:rsidRDefault="005D08F0" w:rsidP="00B106A6">
      <w:pPr>
        <w:spacing w:after="0" w:line="276" w:lineRule="auto"/>
        <w:contextualSpacing/>
        <w:jc w:val="both"/>
        <w:rPr>
          <w:rFonts w:ascii="Arial" w:eastAsia="Arial" w:hAnsi="Arial" w:cs="Arial"/>
          <w:bCs/>
          <w:i/>
          <w:lang w:eastAsia="cs-CZ"/>
        </w:rPr>
      </w:pPr>
      <w:r w:rsidRPr="005D08F0">
        <w:rPr>
          <w:rFonts w:ascii="Arial" w:eastAsia="Arial" w:hAnsi="Arial" w:cs="Arial"/>
          <w:bCs/>
          <w:i/>
          <w:lang w:eastAsia="cs-CZ"/>
        </w:rPr>
        <w:t>„</w:t>
      </w:r>
      <w:r w:rsidR="008B7576">
        <w:rPr>
          <w:rFonts w:ascii="Arial" w:eastAsia="Arial" w:hAnsi="Arial" w:cs="Arial"/>
          <w:bCs/>
          <w:i/>
          <w:lang w:eastAsia="cs-CZ"/>
        </w:rPr>
        <w:t>Spolu s 61 byty v našem prvním dokončeném projektu nájemní</w:t>
      </w:r>
      <w:r w:rsidR="0025580E">
        <w:rPr>
          <w:rFonts w:ascii="Arial" w:eastAsia="Arial" w:hAnsi="Arial" w:cs="Arial"/>
          <w:bCs/>
          <w:i/>
          <w:lang w:eastAsia="cs-CZ"/>
        </w:rPr>
        <w:t xml:space="preserve">ho bydlení máme aktuálně ve výstavbě dalších více než 800 </w:t>
      </w:r>
      <w:r w:rsidR="00D374D6" w:rsidRPr="0025580E">
        <w:rPr>
          <w:rFonts w:ascii="Arial" w:eastAsia="Arial" w:hAnsi="Arial" w:cs="Arial"/>
          <w:bCs/>
          <w:i/>
          <w:lang w:eastAsia="cs-CZ"/>
        </w:rPr>
        <w:t xml:space="preserve">nájemních bytových jednotek pod </w:t>
      </w:r>
      <w:r w:rsidR="0025580E" w:rsidRPr="0025580E">
        <w:rPr>
          <w:rFonts w:ascii="Arial" w:eastAsia="Arial" w:hAnsi="Arial" w:cs="Arial"/>
          <w:bCs/>
          <w:i/>
          <w:lang w:eastAsia="cs-CZ"/>
        </w:rPr>
        <w:t>značkou</w:t>
      </w:r>
      <w:r w:rsidR="00D374D6" w:rsidRPr="0025580E">
        <w:rPr>
          <w:rFonts w:ascii="Arial" w:eastAsia="Arial" w:hAnsi="Arial" w:cs="Arial"/>
          <w:bCs/>
          <w:i/>
          <w:lang w:eastAsia="cs-CZ"/>
        </w:rPr>
        <w:t xml:space="preserve"> AFIHOME</w:t>
      </w:r>
      <w:r w:rsidR="00D374D6" w:rsidRPr="00E53A6C">
        <w:rPr>
          <w:rFonts w:ascii="Arial" w:eastAsia="Arial" w:hAnsi="Arial" w:cs="Arial"/>
          <w:bCs/>
          <w:i/>
          <w:color w:val="FF0000"/>
          <w:lang w:eastAsia="cs-CZ"/>
        </w:rPr>
        <w:t xml:space="preserve">. </w:t>
      </w:r>
      <w:r w:rsidR="00D374D6">
        <w:rPr>
          <w:rFonts w:ascii="Arial" w:eastAsia="Arial" w:hAnsi="Arial" w:cs="Arial"/>
          <w:bCs/>
          <w:i/>
          <w:lang w:eastAsia="cs-CZ"/>
        </w:rPr>
        <w:t xml:space="preserve">Kolaudaci první z budov vnímáme jako významný milník, </w:t>
      </w:r>
      <w:r w:rsidR="0025580E">
        <w:rPr>
          <w:rFonts w:ascii="Arial" w:eastAsia="Arial" w:hAnsi="Arial" w:cs="Arial"/>
          <w:bCs/>
          <w:i/>
          <w:lang w:eastAsia="cs-CZ"/>
        </w:rPr>
        <w:t>od kterého začínáme</w:t>
      </w:r>
      <w:r w:rsidR="00D374D6">
        <w:rPr>
          <w:rFonts w:ascii="Arial" w:eastAsia="Arial" w:hAnsi="Arial" w:cs="Arial"/>
          <w:bCs/>
          <w:i/>
          <w:lang w:eastAsia="cs-CZ"/>
        </w:rPr>
        <w:t xml:space="preserve"> naplňovat </w:t>
      </w:r>
      <w:r w:rsidR="006940BF">
        <w:rPr>
          <w:rFonts w:ascii="Arial" w:eastAsia="Arial" w:hAnsi="Arial" w:cs="Arial"/>
          <w:bCs/>
          <w:i/>
          <w:lang w:eastAsia="cs-CZ"/>
        </w:rPr>
        <w:t xml:space="preserve">náš </w:t>
      </w:r>
      <w:r w:rsidR="00D374D6">
        <w:rPr>
          <w:rFonts w:ascii="Arial" w:eastAsia="Arial" w:hAnsi="Arial" w:cs="Arial"/>
          <w:bCs/>
          <w:i/>
          <w:lang w:eastAsia="cs-CZ"/>
        </w:rPr>
        <w:t xml:space="preserve">dlouhodobý </w:t>
      </w:r>
      <w:r w:rsidR="006940BF">
        <w:rPr>
          <w:rFonts w:ascii="Arial" w:eastAsia="Arial" w:hAnsi="Arial" w:cs="Arial"/>
          <w:bCs/>
          <w:i/>
          <w:lang w:eastAsia="cs-CZ"/>
        </w:rPr>
        <w:t>c</w:t>
      </w:r>
      <w:r w:rsidR="0025580E">
        <w:rPr>
          <w:rFonts w:ascii="Arial" w:eastAsia="Arial" w:hAnsi="Arial" w:cs="Arial"/>
          <w:bCs/>
          <w:i/>
          <w:lang w:eastAsia="cs-CZ"/>
        </w:rPr>
        <w:t>íl – soustředit se v rezidenčním sektoru v Praze výhradně na nájemní</w:t>
      </w:r>
      <w:r w:rsidR="00B106A6">
        <w:rPr>
          <w:rFonts w:ascii="Arial" w:eastAsia="Arial" w:hAnsi="Arial" w:cs="Arial"/>
          <w:bCs/>
          <w:i/>
          <w:lang w:eastAsia="cs-CZ"/>
        </w:rPr>
        <w:t xml:space="preserve"> bydlení,“ </w:t>
      </w:r>
      <w:r w:rsidR="00B106A6" w:rsidRPr="00E62FCD">
        <w:rPr>
          <w:rFonts w:ascii="Arial" w:eastAsia="Arial" w:hAnsi="Arial" w:cs="Arial"/>
          <w:bCs/>
          <w:lang w:eastAsia="cs-CZ"/>
        </w:rPr>
        <w:t xml:space="preserve">komentuje </w:t>
      </w:r>
      <w:r w:rsidR="00B106A6" w:rsidRPr="00E62FCD">
        <w:rPr>
          <w:rFonts w:ascii="Arial" w:eastAsia="Arial" w:hAnsi="Arial" w:cs="Arial"/>
          <w:b/>
          <w:bCs/>
          <w:lang w:eastAsia="cs-CZ"/>
        </w:rPr>
        <w:t>Elena Pisotchi, obchodní a m</w:t>
      </w:r>
      <w:r w:rsidR="00B106A6">
        <w:rPr>
          <w:rFonts w:ascii="Arial" w:eastAsia="Arial" w:hAnsi="Arial" w:cs="Arial"/>
          <w:b/>
          <w:bCs/>
          <w:lang w:eastAsia="cs-CZ"/>
        </w:rPr>
        <w:t>ar</w:t>
      </w:r>
      <w:r w:rsidR="000C4BE8">
        <w:rPr>
          <w:rFonts w:ascii="Arial" w:eastAsia="Arial" w:hAnsi="Arial" w:cs="Arial"/>
          <w:b/>
          <w:bCs/>
          <w:lang w:eastAsia="cs-CZ"/>
        </w:rPr>
        <w:t>ketingová manažerka AFI Europe.</w:t>
      </w:r>
    </w:p>
    <w:p w14:paraId="2A4ACFB5" w14:textId="77777777" w:rsidR="000C4BE8" w:rsidRDefault="000C4BE8" w:rsidP="00B106A6">
      <w:pPr>
        <w:spacing w:after="0" w:line="276" w:lineRule="auto"/>
        <w:contextualSpacing/>
        <w:jc w:val="both"/>
        <w:rPr>
          <w:rFonts w:ascii="Arial" w:eastAsia="Arial" w:hAnsi="Arial" w:cs="Arial"/>
          <w:b/>
          <w:bCs/>
          <w:lang w:eastAsia="cs-CZ"/>
        </w:rPr>
      </w:pPr>
    </w:p>
    <w:p w14:paraId="689FC6E8" w14:textId="07578670" w:rsidR="00375B31" w:rsidRPr="0025580E" w:rsidRDefault="0025580E" w:rsidP="00B106A6">
      <w:pPr>
        <w:spacing w:after="0" w:line="276" w:lineRule="auto"/>
        <w:contextualSpacing/>
        <w:jc w:val="both"/>
        <w:rPr>
          <w:rFonts w:ascii="Arial" w:eastAsia="Arial" w:hAnsi="Arial" w:cs="Arial"/>
          <w:bCs/>
          <w:i/>
          <w:color w:val="FF0000"/>
          <w:lang w:eastAsia="cs-CZ"/>
        </w:rPr>
      </w:pPr>
      <w:r w:rsidRPr="0025580E">
        <w:rPr>
          <w:rFonts w:ascii="Arial" w:eastAsia="Arial" w:hAnsi="Arial" w:cs="Arial"/>
          <w:bCs/>
          <w:lang w:eastAsia="cs-CZ"/>
        </w:rPr>
        <w:t xml:space="preserve">Ve všech bytových jednotkách </w:t>
      </w:r>
      <w:r w:rsidR="000C4BE8" w:rsidRPr="0025580E">
        <w:rPr>
          <w:rFonts w:ascii="Arial" w:eastAsia="Arial" w:hAnsi="Arial" w:cs="Arial"/>
          <w:bCs/>
          <w:lang w:eastAsia="cs-CZ"/>
        </w:rPr>
        <w:t>AFIHOME Třeb</w:t>
      </w:r>
      <w:r w:rsidR="00130BE6" w:rsidRPr="0025580E">
        <w:rPr>
          <w:rFonts w:ascii="Arial" w:eastAsia="Arial" w:hAnsi="Arial" w:cs="Arial"/>
          <w:bCs/>
          <w:lang w:eastAsia="cs-CZ"/>
        </w:rPr>
        <w:t xml:space="preserve">ešín </w:t>
      </w:r>
      <w:r w:rsidR="00375B31" w:rsidRPr="0025580E">
        <w:rPr>
          <w:rFonts w:ascii="Arial" w:eastAsia="Arial" w:hAnsi="Arial" w:cs="Arial"/>
          <w:bCs/>
          <w:lang w:eastAsia="cs-CZ"/>
        </w:rPr>
        <w:t xml:space="preserve">dominují nadčasové přírodní tóny. </w:t>
      </w:r>
      <w:r w:rsidR="00375B31">
        <w:rPr>
          <w:rFonts w:ascii="Arial" w:eastAsia="Arial" w:hAnsi="Arial" w:cs="Arial"/>
          <w:bCs/>
          <w:lang w:eastAsia="cs-CZ"/>
        </w:rPr>
        <w:t xml:space="preserve">V nabídce je </w:t>
      </w:r>
      <w:r w:rsidR="00A44FD2">
        <w:rPr>
          <w:rFonts w:ascii="Arial" w:eastAsia="Arial" w:hAnsi="Arial" w:cs="Arial"/>
          <w:bCs/>
          <w:lang w:eastAsia="cs-CZ"/>
        </w:rPr>
        <w:t xml:space="preserve">17 typů </w:t>
      </w:r>
      <w:r w:rsidR="00103B01">
        <w:rPr>
          <w:rFonts w:ascii="Arial" w:eastAsia="Arial" w:hAnsi="Arial" w:cs="Arial"/>
          <w:bCs/>
          <w:lang w:eastAsia="cs-CZ"/>
        </w:rPr>
        <w:t>bytů. V celém projektu kladla AFI Europe</w:t>
      </w:r>
      <w:r w:rsidR="00130BE6">
        <w:rPr>
          <w:rFonts w:ascii="Arial" w:eastAsia="Arial" w:hAnsi="Arial" w:cs="Arial"/>
          <w:bCs/>
          <w:lang w:eastAsia="cs-CZ"/>
        </w:rPr>
        <w:t xml:space="preserve"> důraz na </w:t>
      </w:r>
      <w:r w:rsidR="00103B01">
        <w:rPr>
          <w:rFonts w:ascii="Arial" w:eastAsia="Arial" w:hAnsi="Arial" w:cs="Arial"/>
          <w:bCs/>
          <w:lang w:eastAsia="cs-CZ"/>
        </w:rPr>
        <w:t>vytvoření moderního, útulného a </w:t>
      </w:r>
      <w:r w:rsidR="00130BE6">
        <w:rPr>
          <w:rFonts w:ascii="Arial" w:eastAsia="Arial" w:hAnsi="Arial" w:cs="Arial"/>
          <w:bCs/>
          <w:lang w:eastAsia="cs-CZ"/>
        </w:rPr>
        <w:t>praktického interiéru s </w:t>
      </w:r>
      <w:r>
        <w:rPr>
          <w:rFonts w:ascii="Arial" w:eastAsia="Arial" w:hAnsi="Arial" w:cs="Arial"/>
          <w:bCs/>
          <w:lang w:eastAsia="cs-CZ"/>
        </w:rPr>
        <w:t>promyšleným půdorysem a </w:t>
      </w:r>
      <w:r w:rsidR="00103B01">
        <w:rPr>
          <w:rFonts w:ascii="Arial" w:eastAsia="Arial" w:hAnsi="Arial" w:cs="Arial"/>
          <w:bCs/>
          <w:lang w:eastAsia="cs-CZ"/>
        </w:rPr>
        <w:t>dostatkem úložných prostor</w:t>
      </w:r>
      <w:r w:rsidR="00130BE6">
        <w:rPr>
          <w:rFonts w:ascii="Arial" w:eastAsia="Arial" w:hAnsi="Arial" w:cs="Arial"/>
          <w:bCs/>
          <w:lang w:eastAsia="cs-CZ"/>
        </w:rPr>
        <w:t xml:space="preserve">. </w:t>
      </w:r>
      <w:r w:rsidR="00375B31">
        <w:rPr>
          <w:rFonts w:ascii="Arial" w:eastAsia="Arial" w:hAnsi="Arial" w:cs="Arial"/>
          <w:bCs/>
          <w:i/>
          <w:lang w:eastAsia="cs-CZ"/>
        </w:rPr>
        <w:t>„</w:t>
      </w:r>
      <w:r w:rsidR="00121665">
        <w:rPr>
          <w:rFonts w:ascii="Arial" w:eastAsia="Arial" w:hAnsi="Arial" w:cs="Arial"/>
          <w:bCs/>
          <w:i/>
          <w:lang w:eastAsia="cs-CZ"/>
        </w:rPr>
        <w:t xml:space="preserve">Zejména generace mileniálů má v současné době potřebu být co nejvíc flexibilní – a my se tomu v rámci našeho konceptu nájemního </w:t>
      </w:r>
      <w:r w:rsidR="00A949C3">
        <w:rPr>
          <w:rFonts w:ascii="Arial" w:eastAsia="Arial" w:hAnsi="Arial" w:cs="Arial"/>
          <w:bCs/>
          <w:i/>
          <w:lang w:eastAsia="cs-CZ"/>
        </w:rPr>
        <w:t>bydlení s</w:t>
      </w:r>
      <w:r w:rsidR="00121665">
        <w:rPr>
          <w:rFonts w:ascii="Arial" w:eastAsia="Arial" w:hAnsi="Arial" w:cs="Arial"/>
          <w:bCs/>
          <w:i/>
          <w:lang w:eastAsia="cs-CZ"/>
        </w:rPr>
        <w:t xml:space="preserve">nažíme vyjít vstříc. Chceme nájemcům </w:t>
      </w:r>
      <w:r w:rsidR="00A949C3">
        <w:rPr>
          <w:rFonts w:ascii="Arial" w:eastAsia="Arial" w:hAnsi="Arial" w:cs="Arial"/>
          <w:bCs/>
          <w:i/>
          <w:lang w:eastAsia="cs-CZ"/>
        </w:rPr>
        <w:t>nabídnout potřebný</w:t>
      </w:r>
      <w:r w:rsidR="00121665">
        <w:rPr>
          <w:rFonts w:ascii="Arial" w:eastAsia="Arial" w:hAnsi="Arial" w:cs="Arial"/>
          <w:bCs/>
          <w:i/>
          <w:lang w:eastAsia="cs-CZ"/>
        </w:rPr>
        <w:t xml:space="preserve"> komfort a svobodu, </w:t>
      </w:r>
      <w:r w:rsidR="00121665" w:rsidRPr="0025580E">
        <w:rPr>
          <w:rFonts w:ascii="Arial" w:eastAsia="Arial" w:hAnsi="Arial" w:cs="Arial"/>
          <w:bCs/>
          <w:i/>
          <w:lang w:eastAsia="cs-CZ"/>
        </w:rPr>
        <w:t>a to nejen</w:t>
      </w:r>
      <w:r w:rsidR="00A949C3" w:rsidRPr="0025580E">
        <w:rPr>
          <w:rFonts w:ascii="Arial" w:eastAsia="Arial" w:hAnsi="Arial" w:cs="Arial"/>
          <w:bCs/>
          <w:i/>
          <w:lang w:eastAsia="cs-CZ"/>
        </w:rPr>
        <w:t xml:space="preserve"> </w:t>
      </w:r>
      <w:r w:rsidRPr="0025580E">
        <w:rPr>
          <w:rFonts w:ascii="Arial" w:eastAsia="Arial" w:hAnsi="Arial" w:cs="Arial"/>
          <w:bCs/>
          <w:i/>
          <w:lang w:eastAsia="cs-CZ"/>
        </w:rPr>
        <w:t>pokud jde o možnost se v případě potřeby přestěhovat.</w:t>
      </w:r>
      <w:r>
        <w:rPr>
          <w:rFonts w:ascii="Arial" w:eastAsia="Arial" w:hAnsi="Arial" w:cs="Arial"/>
          <w:bCs/>
          <w:i/>
          <w:color w:val="FF0000"/>
          <w:lang w:eastAsia="cs-CZ"/>
        </w:rPr>
        <w:t xml:space="preserve"> </w:t>
      </w:r>
      <w:r w:rsidR="00A949C3">
        <w:rPr>
          <w:rFonts w:ascii="Arial" w:eastAsia="Arial" w:hAnsi="Arial" w:cs="Arial"/>
          <w:bCs/>
          <w:i/>
          <w:lang w:eastAsia="cs-CZ"/>
        </w:rPr>
        <w:t>Naše bydlení koncipujeme tak, aby</w:t>
      </w:r>
      <w:r w:rsidR="00121665">
        <w:rPr>
          <w:rFonts w:ascii="Arial" w:eastAsia="Arial" w:hAnsi="Arial" w:cs="Arial"/>
          <w:bCs/>
          <w:i/>
          <w:lang w:eastAsia="cs-CZ"/>
        </w:rPr>
        <w:t xml:space="preserve">chom </w:t>
      </w:r>
      <w:r>
        <w:rPr>
          <w:rFonts w:ascii="Arial" w:eastAsia="Arial" w:hAnsi="Arial" w:cs="Arial"/>
          <w:bCs/>
          <w:i/>
          <w:lang w:eastAsia="cs-CZ"/>
        </w:rPr>
        <w:t xml:space="preserve">lidem poskytli </w:t>
      </w:r>
      <w:r w:rsidR="00121665">
        <w:rPr>
          <w:rFonts w:ascii="Arial" w:eastAsia="Arial" w:hAnsi="Arial" w:cs="Arial"/>
          <w:bCs/>
          <w:i/>
          <w:lang w:eastAsia="cs-CZ"/>
        </w:rPr>
        <w:t>dostatečný výběr podle jejich</w:t>
      </w:r>
      <w:r w:rsidR="00A949C3">
        <w:rPr>
          <w:rFonts w:ascii="Arial" w:eastAsia="Arial" w:hAnsi="Arial" w:cs="Arial"/>
          <w:bCs/>
          <w:i/>
          <w:lang w:eastAsia="cs-CZ"/>
        </w:rPr>
        <w:t xml:space="preserve"> individuálních představ</w:t>
      </w:r>
      <w:r w:rsidR="00121665">
        <w:rPr>
          <w:rFonts w:ascii="Arial" w:eastAsia="Arial" w:hAnsi="Arial" w:cs="Arial"/>
          <w:bCs/>
          <w:i/>
          <w:lang w:eastAsia="cs-CZ"/>
        </w:rPr>
        <w:t xml:space="preserve">, a to </w:t>
      </w:r>
      <w:r w:rsidR="00A949C3">
        <w:rPr>
          <w:rFonts w:ascii="Arial" w:eastAsia="Arial" w:hAnsi="Arial" w:cs="Arial"/>
          <w:bCs/>
          <w:i/>
          <w:lang w:eastAsia="cs-CZ"/>
        </w:rPr>
        <w:t xml:space="preserve">i v případě plně vybavených bytů. </w:t>
      </w:r>
      <w:r w:rsidR="00121665">
        <w:rPr>
          <w:rFonts w:ascii="Arial" w:eastAsia="Arial" w:hAnsi="Arial" w:cs="Arial"/>
          <w:bCs/>
          <w:i/>
          <w:lang w:eastAsia="cs-CZ"/>
        </w:rPr>
        <w:t xml:space="preserve">Například </w:t>
      </w:r>
      <w:r w:rsidR="00A949C3">
        <w:rPr>
          <w:rFonts w:ascii="Arial" w:eastAsia="Arial" w:hAnsi="Arial" w:cs="Arial"/>
          <w:bCs/>
          <w:i/>
          <w:lang w:eastAsia="cs-CZ"/>
        </w:rPr>
        <w:t xml:space="preserve">garsonky jsou připravené v šesti různých variantách,“ </w:t>
      </w:r>
      <w:r w:rsidR="00A949C3">
        <w:rPr>
          <w:rFonts w:ascii="Arial" w:eastAsia="Arial" w:hAnsi="Arial" w:cs="Arial"/>
          <w:bCs/>
          <w:lang w:eastAsia="cs-CZ"/>
        </w:rPr>
        <w:t xml:space="preserve">doplňuje </w:t>
      </w:r>
      <w:r w:rsidR="00A949C3" w:rsidRPr="00E62FCD">
        <w:rPr>
          <w:rFonts w:ascii="Arial" w:eastAsia="Arial" w:hAnsi="Arial" w:cs="Arial"/>
          <w:b/>
          <w:bCs/>
          <w:lang w:eastAsia="cs-CZ"/>
        </w:rPr>
        <w:t>Elena Pisotchi</w:t>
      </w:r>
      <w:r w:rsidR="00A949C3">
        <w:rPr>
          <w:rFonts w:ascii="Arial" w:eastAsia="Arial" w:hAnsi="Arial" w:cs="Arial"/>
          <w:b/>
          <w:bCs/>
          <w:lang w:eastAsia="cs-CZ"/>
        </w:rPr>
        <w:t>.</w:t>
      </w:r>
    </w:p>
    <w:p w14:paraId="40AEDC03" w14:textId="77777777" w:rsidR="005D08F0" w:rsidRPr="00313C27" w:rsidRDefault="005D08F0" w:rsidP="00313C27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3D099B10" w14:textId="6AB29F0C" w:rsidR="005B4AB4" w:rsidRDefault="00313C27" w:rsidP="71571CDB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71571CDB">
        <w:rPr>
          <w:rFonts w:ascii="Arial" w:eastAsia="Arial" w:hAnsi="Arial" w:cs="Arial"/>
          <w:sz w:val="22"/>
          <w:szCs w:val="22"/>
        </w:rPr>
        <w:t xml:space="preserve">Nájemní byty </w:t>
      </w:r>
      <w:r w:rsidR="00A21759" w:rsidRPr="71571CDB">
        <w:rPr>
          <w:rFonts w:ascii="Arial" w:eastAsia="Arial" w:hAnsi="Arial" w:cs="Arial"/>
          <w:sz w:val="22"/>
          <w:szCs w:val="22"/>
        </w:rPr>
        <w:t xml:space="preserve">budou disponovat totožnými standardy jako </w:t>
      </w:r>
      <w:r w:rsidR="4DD3E0AD" w:rsidRPr="71571CDB">
        <w:rPr>
          <w:rFonts w:ascii="Arial" w:eastAsia="Arial" w:hAnsi="Arial" w:cs="Arial"/>
          <w:sz w:val="22"/>
          <w:szCs w:val="22"/>
        </w:rPr>
        <w:t>byty na prodej v předchozích fázích Tulipy Třebešín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, kde </w:t>
      </w:r>
      <w:r w:rsidR="45B84892" w:rsidRPr="71571CDB">
        <w:rPr>
          <w:rFonts w:ascii="Arial" w:eastAsia="Arial" w:hAnsi="Arial" w:cs="Arial"/>
          <w:sz w:val="22"/>
          <w:szCs w:val="22"/>
        </w:rPr>
        <w:t xml:space="preserve">již 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bylo dokončeno </w:t>
      </w:r>
      <w:r w:rsidR="1FF12267" w:rsidRPr="71571CDB">
        <w:rPr>
          <w:rFonts w:ascii="Arial" w:eastAsia="Arial" w:hAnsi="Arial" w:cs="Arial"/>
          <w:sz w:val="22"/>
          <w:szCs w:val="22"/>
        </w:rPr>
        <w:t>a kompletně prodáno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 750 standardních bytů</w:t>
      </w:r>
      <w:r w:rsidR="64BD5FC7" w:rsidRPr="71571CDB">
        <w:rPr>
          <w:rFonts w:ascii="Arial" w:eastAsia="Arial" w:hAnsi="Arial" w:cs="Arial"/>
          <w:sz w:val="22"/>
          <w:szCs w:val="22"/>
        </w:rPr>
        <w:t>. V</w:t>
      </w:r>
      <w:r w:rsidR="00CF286D">
        <w:rPr>
          <w:rFonts w:ascii="Arial" w:eastAsia="Arial" w:hAnsi="Arial" w:cs="Arial"/>
          <w:sz w:val="22"/>
          <w:szCs w:val="22"/>
        </w:rPr>
        <w:t> nabídce</w:t>
      </w:r>
      <w:r w:rsidR="64BD5FC7" w:rsidRPr="71571CDB">
        <w:rPr>
          <w:rFonts w:ascii="Arial" w:eastAsia="Arial" w:hAnsi="Arial" w:cs="Arial"/>
          <w:sz w:val="22"/>
          <w:szCs w:val="22"/>
        </w:rPr>
        <w:t xml:space="preserve"> zůstává posledních </w:t>
      </w:r>
      <w:r w:rsidR="00CF286D" w:rsidRPr="00F41D07">
        <w:rPr>
          <w:rFonts w:ascii="Arial" w:eastAsia="Arial" w:hAnsi="Arial" w:cs="Arial"/>
          <w:sz w:val="22"/>
          <w:szCs w:val="22"/>
        </w:rPr>
        <w:t>10</w:t>
      </w:r>
      <w:r w:rsidR="00CF286D">
        <w:rPr>
          <w:rFonts w:ascii="Arial" w:eastAsia="Arial" w:hAnsi="Arial" w:cs="Arial"/>
          <w:sz w:val="22"/>
          <w:szCs w:val="22"/>
        </w:rPr>
        <w:t xml:space="preserve"> </w:t>
      </w:r>
      <w:r w:rsidR="5766A5B6" w:rsidRPr="71571CDB">
        <w:rPr>
          <w:rFonts w:ascii="Arial" w:eastAsia="Arial" w:hAnsi="Arial" w:cs="Arial"/>
          <w:sz w:val="22"/>
          <w:szCs w:val="22"/>
        </w:rPr>
        <w:t xml:space="preserve">velkometrážních </w:t>
      </w:r>
      <w:r w:rsidR="64BD5FC7" w:rsidRPr="71571CDB">
        <w:rPr>
          <w:rFonts w:ascii="Arial" w:eastAsia="Arial" w:hAnsi="Arial" w:cs="Arial"/>
          <w:sz w:val="22"/>
          <w:szCs w:val="22"/>
        </w:rPr>
        <w:t>jednotek v luxusních</w:t>
      </w:r>
      <w:r w:rsidR="11E42D97" w:rsidRPr="71571CDB">
        <w:rPr>
          <w:rFonts w:ascii="Arial" w:eastAsia="Arial" w:hAnsi="Arial" w:cs="Arial"/>
          <w:sz w:val="22"/>
          <w:szCs w:val="22"/>
        </w:rPr>
        <w:t xml:space="preserve"> </w:t>
      </w:r>
      <w:r w:rsidR="745CA1F8" w:rsidRPr="71571CDB">
        <w:rPr>
          <w:rFonts w:ascii="Arial" w:eastAsia="Arial" w:hAnsi="Arial" w:cs="Arial"/>
          <w:sz w:val="22"/>
          <w:szCs w:val="22"/>
        </w:rPr>
        <w:t xml:space="preserve">viladomech. Projekt se nachází u autobusové zastávky Třebešín jen několik minut jízdy od stanice metra Želivského. Jeho součástí je také park a mateřská školka s kapacitou pro 60 dětí. </w:t>
      </w:r>
      <w:r w:rsidR="771A07F3" w:rsidRPr="71571CDB">
        <w:rPr>
          <w:rFonts w:ascii="Arial" w:eastAsia="Arial" w:hAnsi="Arial" w:cs="Arial"/>
          <w:sz w:val="22"/>
          <w:szCs w:val="22"/>
        </w:rPr>
        <w:t xml:space="preserve">V nájemní rezidenci </w:t>
      </w:r>
      <w:r w:rsidR="00A21759" w:rsidRPr="71571CDB">
        <w:rPr>
          <w:rFonts w:ascii="Arial" w:eastAsia="Arial" w:hAnsi="Arial" w:cs="Arial"/>
          <w:sz w:val="22"/>
          <w:szCs w:val="22"/>
        </w:rPr>
        <w:t>nebude chybět ani několik maloobchodních jednotek</w:t>
      </w:r>
      <w:r w:rsidR="20E4615C" w:rsidRPr="71571CDB">
        <w:rPr>
          <w:rFonts w:ascii="Arial" w:eastAsia="Arial" w:hAnsi="Arial" w:cs="Arial"/>
          <w:sz w:val="22"/>
          <w:szCs w:val="22"/>
        </w:rPr>
        <w:t xml:space="preserve"> v přízemí</w:t>
      </w:r>
      <w:r w:rsidR="005E4903">
        <w:rPr>
          <w:rFonts w:ascii="Arial" w:eastAsia="Arial" w:hAnsi="Arial" w:cs="Arial"/>
          <w:sz w:val="22"/>
          <w:szCs w:val="22"/>
        </w:rPr>
        <w:t xml:space="preserve">, které </w:t>
      </w:r>
      <w:r w:rsidR="00A21759" w:rsidRPr="71571CDB">
        <w:rPr>
          <w:rFonts w:ascii="Arial" w:eastAsia="Arial" w:hAnsi="Arial" w:cs="Arial"/>
          <w:sz w:val="22"/>
          <w:szCs w:val="22"/>
        </w:rPr>
        <w:t>doplní občanskou vybavenost</w:t>
      </w:r>
      <w:r w:rsidR="10DFDC9A" w:rsidRPr="71571CDB">
        <w:rPr>
          <w:rFonts w:ascii="Arial" w:eastAsia="Arial" w:hAnsi="Arial" w:cs="Arial"/>
          <w:sz w:val="22"/>
          <w:szCs w:val="22"/>
        </w:rPr>
        <w:t xml:space="preserve"> v okolí</w:t>
      </w:r>
      <w:r w:rsidR="00A21759" w:rsidRPr="71571CDB">
        <w:rPr>
          <w:rFonts w:ascii="Arial" w:eastAsia="Arial" w:hAnsi="Arial" w:cs="Arial"/>
          <w:sz w:val="22"/>
          <w:szCs w:val="22"/>
        </w:rPr>
        <w:t>.</w:t>
      </w:r>
    </w:p>
    <w:p w14:paraId="396E430F" w14:textId="77777777" w:rsidR="00FC7CE9" w:rsidRDefault="00FC7CE9" w:rsidP="00313C27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  <w:bookmarkStart w:id="0" w:name="_GoBack"/>
      <w:bookmarkEnd w:id="0"/>
    </w:p>
    <w:p w14:paraId="560F7648" w14:textId="77777777" w:rsidR="00FC7CE9" w:rsidRDefault="00FC7CE9" w:rsidP="00313C27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2A398E36" w14:textId="77777777" w:rsidR="00FC7CE9" w:rsidRPr="00313C27" w:rsidRDefault="00FC7CE9" w:rsidP="00313C27">
      <w:pPr>
        <w:pStyle w:val="Standard"/>
        <w:spacing w:line="276" w:lineRule="auto"/>
        <w:jc w:val="both"/>
        <w:rPr>
          <w:rFonts w:ascii="Arial" w:eastAsia="Arial" w:hAnsi="Arial" w:cs="Arial"/>
          <w:bCs/>
          <w:sz w:val="22"/>
          <w:szCs w:val="22"/>
        </w:rPr>
      </w:pPr>
    </w:p>
    <w:p w14:paraId="0BAC9248" w14:textId="77777777" w:rsidR="00157955" w:rsidRPr="009D4566" w:rsidRDefault="000813BB" w:rsidP="00157955">
      <w:pPr>
        <w:spacing w:line="276" w:lineRule="auto"/>
        <w:jc w:val="center"/>
      </w:pPr>
      <w:hyperlink r:id="rId7" w:history="1">
        <w:r w:rsidR="00157955">
          <w:rPr>
            <w:rStyle w:val="Hypertextovodkaz"/>
            <w:rFonts w:ascii="Arial" w:hAnsi="Arial" w:cs="Arial"/>
          </w:rPr>
          <w:t>www.afihome.cz</w:t>
        </w:r>
      </w:hyperlink>
    </w:p>
    <w:p w14:paraId="767478CB" w14:textId="77777777" w:rsidR="00157955" w:rsidRDefault="00157955" w:rsidP="00157955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i/>
          <w:sz w:val="24"/>
          <w:szCs w:val="24"/>
        </w:rPr>
      </w:pPr>
    </w:p>
    <w:p w14:paraId="6D4AFD21" w14:textId="77777777" w:rsidR="00157955" w:rsidRDefault="00157955" w:rsidP="00157955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0DDBEB7" w14:textId="64224A63" w:rsidR="00157955" w:rsidRDefault="00157955" w:rsidP="00157955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jc w:val="both"/>
        <w:outlineLvl w:val="0"/>
        <w:rPr>
          <w:rFonts w:ascii="Calibri" w:hAnsi="Calibri" w:cs="Helvetica"/>
          <w:b/>
          <w:i/>
          <w:sz w:val="22"/>
          <w:szCs w:val="22"/>
        </w:rPr>
      </w:pPr>
      <w:r w:rsidRPr="003A1374">
        <w:rPr>
          <w:rFonts w:ascii="Calibri" w:hAnsi="Calibri" w:cs="Helvetica"/>
          <w:b/>
          <w:i/>
          <w:sz w:val="22"/>
          <w:szCs w:val="22"/>
        </w:rPr>
        <w:t xml:space="preserve">AFI EUROPE Czech Republic </w:t>
      </w:r>
      <w:r w:rsidRPr="003A1374">
        <w:rPr>
          <w:rFonts w:ascii="Calibri" w:hAnsi="Calibri" w:cs="Helvetica"/>
          <w:i/>
          <w:sz w:val="22"/>
          <w:szCs w:val="22"/>
        </w:rPr>
        <w:t xml:space="preserve"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procesu výstavby je rozsáhlé portfolio nájemních bytů, které vyrostou v projektech </w:t>
      </w:r>
      <w:r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Karlín v Praze 8, </w:t>
      </w:r>
      <w:r>
        <w:rPr>
          <w:rFonts w:ascii="Calibri" w:hAnsi="Calibri" w:cs="Helvetica"/>
          <w:i/>
          <w:sz w:val="22"/>
          <w:szCs w:val="22"/>
        </w:rPr>
        <w:t>AFIHOME</w:t>
      </w:r>
      <w:r w:rsidRPr="003A1374">
        <w:rPr>
          <w:rFonts w:ascii="Calibri" w:hAnsi="Calibri" w:cs="Helvetica"/>
          <w:i/>
          <w:sz w:val="22"/>
          <w:szCs w:val="22"/>
        </w:rPr>
        <w:t xml:space="preserve"> Třebešín v Praze 3 a v multifunkčním areálu AFI City</w:t>
      </w:r>
      <w:r>
        <w:rPr>
          <w:rFonts w:ascii="Calibri" w:hAnsi="Calibri" w:cs="Helvetica"/>
          <w:i/>
          <w:sz w:val="22"/>
          <w:szCs w:val="22"/>
        </w:rPr>
        <w:t xml:space="preserve"> (AFIHOME Kolbenova)</w:t>
      </w:r>
      <w:r w:rsidRPr="003A1374">
        <w:rPr>
          <w:rFonts w:ascii="Calibri" w:hAnsi="Calibri" w:cs="Helvetica"/>
          <w:i/>
          <w:sz w:val="22"/>
          <w:szCs w:val="22"/>
        </w:rPr>
        <w:t xml:space="preserve"> na městském brownfieldu v Praze 9. V dubnu 2021 společnost rozšířila své dosavadní</w:t>
      </w:r>
      <w:r w:rsidRPr="003A1374">
        <w:rPr>
          <w:rFonts w:ascii="Calibri" w:hAnsi="Calibri" w:cs="Helvetica"/>
          <w:b/>
          <w:i/>
          <w:sz w:val="22"/>
          <w:szCs w:val="22"/>
        </w:rPr>
        <w:t xml:space="preserve"> </w:t>
      </w:r>
      <w:r w:rsidR="005E4903">
        <w:rPr>
          <w:rFonts w:ascii="Calibri" w:hAnsi="Calibri" w:cs="Helvetica"/>
          <w:i/>
          <w:sz w:val="22"/>
          <w:szCs w:val="22"/>
        </w:rPr>
        <w:t>portfolio o</w:t>
      </w:r>
      <w:r w:rsidRPr="003A1374">
        <w:rPr>
          <w:rFonts w:ascii="Calibri" w:hAnsi="Calibri" w:cs="Helvetica"/>
          <w:i/>
          <w:sz w:val="22"/>
          <w:szCs w:val="22"/>
        </w:rPr>
        <w:t xml:space="preserve"> akvizici administrativního komplexu Avenir Business Park v Nových Butovicích.</w:t>
      </w:r>
    </w:p>
    <w:p w14:paraId="05EA69B2" w14:textId="77777777" w:rsidR="00157955" w:rsidRDefault="00157955" w:rsidP="00157955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outlineLvl w:val="0"/>
      </w:pPr>
    </w:p>
    <w:p w14:paraId="0CE584D8" w14:textId="77777777" w:rsidR="00157955" w:rsidRDefault="00157955" w:rsidP="00157955">
      <w:pPr>
        <w:pStyle w:val="Standard"/>
        <w:widowControl w:val="0"/>
        <w:tabs>
          <w:tab w:val="left" w:pos="1136"/>
          <w:tab w:val="left" w:pos="1703"/>
          <w:tab w:val="left" w:pos="2270"/>
          <w:tab w:val="left" w:pos="2837"/>
          <w:tab w:val="left" w:pos="3404"/>
          <w:tab w:val="left" w:pos="3971"/>
          <w:tab w:val="left" w:pos="4538"/>
          <w:tab w:val="left" w:pos="5105"/>
          <w:tab w:val="left" w:pos="5672"/>
          <w:tab w:val="left" w:pos="6239"/>
          <w:tab w:val="left" w:pos="6806"/>
          <w:tab w:val="left" w:pos="7373"/>
        </w:tabs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7955" w14:paraId="4627B47E" w14:textId="77777777" w:rsidTr="00EF462D">
        <w:tc>
          <w:tcPr>
            <w:tcW w:w="4531" w:type="dxa"/>
          </w:tcPr>
          <w:p w14:paraId="5C26084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3A18029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59CB484B" w14:textId="77777777" w:rsidTr="00EF462D">
        <w:tc>
          <w:tcPr>
            <w:tcW w:w="4531" w:type="dxa"/>
          </w:tcPr>
          <w:p w14:paraId="7C441F9C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5C7D9BB5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4FF325C2" w14:textId="77777777" w:rsidTr="00EF462D">
        <w:tc>
          <w:tcPr>
            <w:tcW w:w="4531" w:type="dxa"/>
          </w:tcPr>
          <w:p w14:paraId="66A14168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53571CA7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157955" w14:paraId="064D9E7A" w14:textId="77777777" w:rsidTr="00EF462D">
        <w:trPr>
          <w:trHeight w:val="80"/>
        </w:trPr>
        <w:tc>
          <w:tcPr>
            <w:tcW w:w="4531" w:type="dxa"/>
          </w:tcPr>
          <w:p w14:paraId="3DFC5D51" w14:textId="77777777" w:rsidR="00157955" w:rsidRDefault="000813BB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8" w:history="1">
              <w:r w:rsidR="00157955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1594BE1A" w14:textId="77777777" w:rsidR="00157955" w:rsidRDefault="000813BB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9" w:history="1">
              <w:r w:rsidR="00157955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157955" w14:paraId="1293D512" w14:textId="77777777" w:rsidTr="00EF462D">
        <w:tc>
          <w:tcPr>
            <w:tcW w:w="4531" w:type="dxa"/>
          </w:tcPr>
          <w:p w14:paraId="6AC5562E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2F8814D4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5EB08E" w14:textId="77777777" w:rsidR="000813BB" w:rsidRDefault="000813BB">
      <w:pPr>
        <w:spacing w:after="0" w:line="240" w:lineRule="auto"/>
      </w:pPr>
      <w:r>
        <w:separator/>
      </w:r>
    </w:p>
  </w:endnote>
  <w:endnote w:type="continuationSeparator" w:id="0">
    <w:p w14:paraId="38C2BF01" w14:textId="77777777" w:rsidR="000813BB" w:rsidRDefault="00081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B7AF18" w14:textId="77777777" w:rsidR="000813BB" w:rsidRDefault="000813B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1DB0E7E" w14:textId="77777777" w:rsidR="000813BB" w:rsidRDefault="000813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42F15"/>
    <w:rsid w:val="00052013"/>
    <w:rsid w:val="0006055F"/>
    <w:rsid w:val="000628A4"/>
    <w:rsid w:val="00077C80"/>
    <w:rsid w:val="000813BB"/>
    <w:rsid w:val="00095F5C"/>
    <w:rsid w:val="0009644B"/>
    <w:rsid w:val="000C25F1"/>
    <w:rsid w:val="000C40B4"/>
    <w:rsid w:val="000C4BE8"/>
    <w:rsid w:val="000D7ABC"/>
    <w:rsid w:val="000F66BC"/>
    <w:rsid w:val="00103B01"/>
    <w:rsid w:val="0010638F"/>
    <w:rsid w:val="00121665"/>
    <w:rsid w:val="00130BE6"/>
    <w:rsid w:val="0014512D"/>
    <w:rsid w:val="00146B51"/>
    <w:rsid w:val="00150706"/>
    <w:rsid w:val="00157955"/>
    <w:rsid w:val="001646D2"/>
    <w:rsid w:val="0017585C"/>
    <w:rsid w:val="0019732B"/>
    <w:rsid w:val="001B39F9"/>
    <w:rsid w:val="001E2B88"/>
    <w:rsid w:val="001E40FD"/>
    <w:rsid w:val="001E5808"/>
    <w:rsid w:val="001F3A6C"/>
    <w:rsid w:val="00206F1D"/>
    <w:rsid w:val="00213362"/>
    <w:rsid w:val="00230447"/>
    <w:rsid w:val="00250BA1"/>
    <w:rsid w:val="0025580E"/>
    <w:rsid w:val="0026308A"/>
    <w:rsid w:val="002643D1"/>
    <w:rsid w:val="002654CD"/>
    <w:rsid w:val="002A6C51"/>
    <w:rsid w:val="002C7457"/>
    <w:rsid w:val="002D6F26"/>
    <w:rsid w:val="002F2340"/>
    <w:rsid w:val="00311976"/>
    <w:rsid w:val="00313C27"/>
    <w:rsid w:val="00345C77"/>
    <w:rsid w:val="00350CA2"/>
    <w:rsid w:val="0036110E"/>
    <w:rsid w:val="0036D3F5"/>
    <w:rsid w:val="00375B31"/>
    <w:rsid w:val="00390285"/>
    <w:rsid w:val="003A0718"/>
    <w:rsid w:val="003A1374"/>
    <w:rsid w:val="003B23E5"/>
    <w:rsid w:val="003D5A5A"/>
    <w:rsid w:val="00414010"/>
    <w:rsid w:val="00416FC4"/>
    <w:rsid w:val="004254EE"/>
    <w:rsid w:val="004316EF"/>
    <w:rsid w:val="00440A92"/>
    <w:rsid w:val="0044628C"/>
    <w:rsid w:val="00451562"/>
    <w:rsid w:val="00482D9A"/>
    <w:rsid w:val="00494A67"/>
    <w:rsid w:val="004A7411"/>
    <w:rsid w:val="004D1ACB"/>
    <w:rsid w:val="004E7F7D"/>
    <w:rsid w:val="00515879"/>
    <w:rsid w:val="00522606"/>
    <w:rsid w:val="00530136"/>
    <w:rsid w:val="005311FA"/>
    <w:rsid w:val="005528A3"/>
    <w:rsid w:val="005559F1"/>
    <w:rsid w:val="0055772D"/>
    <w:rsid w:val="00561CB9"/>
    <w:rsid w:val="00581707"/>
    <w:rsid w:val="005B30A4"/>
    <w:rsid w:val="005B4955"/>
    <w:rsid w:val="005B4AB4"/>
    <w:rsid w:val="005D08F0"/>
    <w:rsid w:val="005D2254"/>
    <w:rsid w:val="005D6B95"/>
    <w:rsid w:val="005E0550"/>
    <w:rsid w:val="005E4903"/>
    <w:rsid w:val="005E6108"/>
    <w:rsid w:val="006105B2"/>
    <w:rsid w:val="006112F3"/>
    <w:rsid w:val="00635CF2"/>
    <w:rsid w:val="00655FD9"/>
    <w:rsid w:val="00664D59"/>
    <w:rsid w:val="006940BF"/>
    <w:rsid w:val="006A3083"/>
    <w:rsid w:val="006B4F8F"/>
    <w:rsid w:val="006C1601"/>
    <w:rsid w:val="006E255B"/>
    <w:rsid w:val="0070279D"/>
    <w:rsid w:val="00702EB3"/>
    <w:rsid w:val="007252BE"/>
    <w:rsid w:val="00734BF5"/>
    <w:rsid w:val="00763A45"/>
    <w:rsid w:val="00792CD9"/>
    <w:rsid w:val="00797283"/>
    <w:rsid w:val="007C6D46"/>
    <w:rsid w:val="007C6ECB"/>
    <w:rsid w:val="007D1137"/>
    <w:rsid w:val="007F0810"/>
    <w:rsid w:val="008072FB"/>
    <w:rsid w:val="008214C3"/>
    <w:rsid w:val="0083195B"/>
    <w:rsid w:val="008366BD"/>
    <w:rsid w:val="0085104E"/>
    <w:rsid w:val="00855CAF"/>
    <w:rsid w:val="00870C4E"/>
    <w:rsid w:val="00873EA6"/>
    <w:rsid w:val="008A65F0"/>
    <w:rsid w:val="008B7576"/>
    <w:rsid w:val="008C3559"/>
    <w:rsid w:val="008C4851"/>
    <w:rsid w:val="008D1217"/>
    <w:rsid w:val="008D19C5"/>
    <w:rsid w:val="008D5C00"/>
    <w:rsid w:val="008E2A8E"/>
    <w:rsid w:val="008E386E"/>
    <w:rsid w:val="008E39A6"/>
    <w:rsid w:val="008E4265"/>
    <w:rsid w:val="0090378F"/>
    <w:rsid w:val="009114FC"/>
    <w:rsid w:val="00917BEF"/>
    <w:rsid w:val="00943F9A"/>
    <w:rsid w:val="009525DB"/>
    <w:rsid w:val="009D4566"/>
    <w:rsid w:val="009E0A6A"/>
    <w:rsid w:val="009E3CCA"/>
    <w:rsid w:val="00A21759"/>
    <w:rsid w:val="00A24554"/>
    <w:rsid w:val="00A44FD2"/>
    <w:rsid w:val="00A676D4"/>
    <w:rsid w:val="00A92918"/>
    <w:rsid w:val="00A949C3"/>
    <w:rsid w:val="00AA7C70"/>
    <w:rsid w:val="00AB189C"/>
    <w:rsid w:val="00AB50A0"/>
    <w:rsid w:val="00AE121E"/>
    <w:rsid w:val="00AE44A7"/>
    <w:rsid w:val="00B07F07"/>
    <w:rsid w:val="00B106A6"/>
    <w:rsid w:val="00B11907"/>
    <w:rsid w:val="00B13CF1"/>
    <w:rsid w:val="00B15118"/>
    <w:rsid w:val="00B3D5B9"/>
    <w:rsid w:val="00B816B1"/>
    <w:rsid w:val="00B92462"/>
    <w:rsid w:val="00BB41DD"/>
    <w:rsid w:val="00BD2F34"/>
    <w:rsid w:val="00BE2DA5"/>
    <w:rsid w:val="00BE5BC3"/>
    <w:rsid w:val="00BF7CAE"/>
    <w:rsid w:val="00C1637D"/>
    <w:rsid w:val="00C308B6"/>
    <w:rsid w:val="00C322B5"/>
    <w:rsid w:val="00C34B1C"/>
    <w:rsid w:val="00C3663F"/>
    <w:rsid w:val="00C70503"/>
    <w:rsid w:val="00CA49AC"/>
    <w:rsid w:val="00CB3ABB"/>
    <w:rsid w:val="00CB5DBE"/>
    <w:rsid w:val="00CF286D"/>
    <w:rsid w:val="00CF650D"/>
    <w:rsid w:val="00D12EE6"/>
    <w:rsid w:val="00D30492"/>
    <w:rsid w:val="00D3130D"/>
    <w:rsid w:val="00D32C19"/>
    <w:rsid w:val="00D34983"/>
    <w:rsid w:val="00D3697E"/>
    <w:rsid w:val="00D374D6"/>
    <w:rsid w:val="00D51F81"/>
    <w:rsid w:val="00D57E97"/>
    <w:rsid w:val="00D63C51"/>
    <w:rsid w:val="00D76A44"/>
    <w:rsid w:val="00DB7C70"/>
    <w:rsid w:val="00DC5EBE"/>
    <w:rsid w:val="00DE5BC5"/>
    <w:rsid w:val="00DF3AF9"/>
    <w:rsid w:val="00E05BFC"/>
    <w:rsid w:val="00E20F3A"/>
    <w:rsid w:val="00E24188"/>
    <w:rsid w:val="00E26CB8"/>
    <w:rsid w:val="00E40806"/>
    <w:rsid w:val="00E53A6C"/>
    <w:rsid w:val="00E56AD0"/>
    <w:rsid w:val="00E7095C"/>
    <w:rsid w:val="00E76D0A"/>
    <w:rsid w:val="00E83A63"/>
    <w:rsid w:val="00E876F4"/>
    <w:rsid w:val="00E97562"/>
    <w:rsid w:val="00EC3174"/>
    <w:rsid w:val="00ED06AD"/>
    <w:rsid w:val="00ED1B4C"/>
    <w:rsid w:val="00ED6555"/>
    <w:rsid w:val="00EE01C1"/>
    <w:rsid w:val="00EF114C"/>
    <w:rsid w:val="00EF1B2F"/>
    <w:rsid w:val="00EF2FA1"/>
    <w:rsid w:val="00EF6F2D"/>
    <w:rsid w:val="00EF7E87"/>
    <w:rsid w:val="00F41D07"/>
    <w:rsid w:val="00F42CF0"/>
    <w:rsid w:val="00F43C8D"/>
    <w:rsid w:val="00F44B1C"/>
    <w:rsid w:val="00F46442"/>
    <w:rsid w:val="00F55F0E"/>
    <w:rsid w:val="00F602CB"/>
    <w:rsid w:val="00F8415F"/>
    <w:rsid w:val="00FA24C0"/>
    <w:rsid w:val="00FB20C6"/>
    <w:rsid w:val="00FC7CE9"/>
    <w:rsid w:val="00FD0CDE"/>
    <w:rsid w:val="00FD24CA"/>
    <w:rsid w:val="00FD43B9"/>
    <w:rsid w:val="00FE0732"/>
    <w:rsid w:val="015C05CF"/>
    <w:rsid w:val="01A333A2"/>
    <w:rsid w:val="02D619C7"/>
    <w:rsid w:val="037ADE3A"/>
    <w:rsid w:val="0628D6D5"/>
    <w:rsid w:val="07136361"/>
    <w:rsid w:val="07CB4753"/>
    <w:rsid w:val="083D619F"/>
    <w:rsid w:val="08FE4A51"/>
    <w:rsid w:val="09C998FE"/>
    <w:rsid w:val="0AD4F9B7"/>
    <w:rsid w:val="0B02E815"/>
    <w:rsid w:val="0B27A7E4"/>
    <w:rsid w:val="0C35EB13"/>
    <w:rsid w:val="0C44C80A"/>
    <w:rsid w:val="0C5A0C3B"/>
    <w:rsid w:val="0CB87213"/>
    <w:rsid w:val="0F9B9DF0"/>
    <w:rsid w:val="0FCE6DBB"/>
    <w:rsid w:val="10BE0C53"/>
    <w:rsid w:val="10DFDC9A"/>
    <w:rsid w:val="1106C0B3"/>
    <w:rsid w:val="11C788D9"/>
    <w:rsid w:val="11E42D97"/>
    <w:rsid w:val="13C1BE2C"/>
    <w:rsid w:val="146DA900"/>
    <w:rsid w:val="147D468D"/>
    <w:rsid w:val="14B1B7E1"/>
    <w:rsid w:val="14D3D380"/>
    <w:rsid w:val="151B978E"/>
    <w:rsid w:val="15C79673"/>
    <w:rsid w:val="171A3273"/>
    <w:rsid w:val="17B0A590"/>
    <w:rsid w:val="184F3C41"/>
    <w:rsid w:val="189A91AC"/>
    <w:rsid w:val="18C94DCD"/>
    <w:rsid w:val="1977CF5D"/>
    <w:rsid w:val="1A5FF9BA"/>
    <w:rsid w:val="1A9B0796"/>
    <w:rsid w:val="1AEB6078"/>
    <w:rsid w:val="1B431504"/>
    <w:rsid w:val="1C36D7F7"/>
    <w:rsid w:val="1C87846F"/>
    <w:rsid w:val="1CE5E6A1"/>
    <w:rsid w:val="1D0DF972"/>
    <w:rsid w:val="1DB97FFB"/>
    <w:rsid w:val="1E7D914C"/>
    <w:rsid w:val="1EC279D4"/>
    <w:rsid w:val="1EC9B84F"/>
    <w:rsid w:val="1F277F64"/>
    <w:rsid w:val="1FC0BA96"/>
    <w:rsid w:val="1FF12267"/>
    <w:rsid w:val="207EA728"/>
    <w:rsid w:val="20E4615C"/>
    <w:rsid w:val="213C7B87"/>
    <w:rsid w:val="21B9CEF1"/>
    <w:rsid w:val="21DF1112"/>
    <w:rsid w:val="22364760"/>
    <w:rsid w:val="22FB4F22"/>
    <w:rsid w:val="2383A72E"/>
    <w:rsid w:val="2489ADEA"/>
    <w:rsid w:val="24CCEF93"/>
    <w:rsid w:val="25C88DEF"/>
    <w:rsid w:val="26671595"/>
    <w:rsid w:val="26AFD5D3"/>
    <w:rsid w:val="27C17554"/>
    <w:rsid w:val="27F40312"/>
    <w:rsid w:val="2919243D"/>
    <w:rsid w:val="2A1E5981"/>
    <w:rsid w:val="2AFBDD13"/>
    <w:rsid w:val="2CEB5549"/>
    <w:rsid w:val="2DB4BDE8"/>
    <w:rsid w:val="2F1965C8"/>
    <w:rsid w:val="308BF708"/>
    <w:rsid w:val="30CB252C"/>
    <w:rsid w:val="313EC0FF"/>
    <w:rsid w:val="314F0895"/>
    <w:rsid w:val="31BA9DD3"/>
    <w:rsid w:val="331E843E"/>
    <w:rsid w:val="3385C1E4"/>
    <w:rsid w:val="33FBB254"/>
    <w:rsid w:val="3548F41D"/>
    <w:rsid w:val="3549E849"/>
    <w:rsid w:val="35A0CCFC"/>
    <w:rsid w:val="3624FF1E"/>
    <w:rsid w:val="36ECC727"/>
    <w:rsid w:val="38046560"/>
    <w:rsid w:val="3A242EC7"/>
    <w:rsid w:val="3AE73B8D"/>
    <w:rsid w:val="3B47AC79"/>
    <w:rsid w:val="3C1C6234"/>
    <w:rsid w:val="3CA309D9"/>
    <w:rsid w:val="3D0D03F8"/>
    <w:rsid w:val="3EDD53C0"/>
    <w:rsid w:val="3EE3EBD5"/>
    <w:rsid w:val="3F20A784"/>
    <w:rsid w:val="3F4BB5D5"/>
    <w:rsid w:val="3F593F76"/>
    <w:rsid w:val="4293A735"/>
    <w:rsid w:val="42BC5D82"/>
    <w:rsid w:val="437AB636"/>
    <w:rsid w:val="44411BA4"/>
    <w:rsid w:val="445CF699"/>
    <w:rsid w:val="454EBF1D"/>
    <w:rsid w:val="4584D950"/>
    <w:rsid w:val="45B84892"/>
    <w:rsid w:val="45BD82FE"/>
    <w:rsid w:val="45BFD5DA"/>
    <w:rsid w:val="45FB562A"/>
    <w:rsid w:val="474DC7C2"/>
    <w:rsid w:val="4794975B"/>
    <w:rsid w:val="47A77061"/>
    <w:rsid w:val="48F7D52F"/>
    <w:rsid w:val="490F43D2"/>
    <w:rsid w:val="494F6C3F"/>
    <w:rsid w:val="49796E42"/>
    <w:rsid w:val="4AB7CB91"/>
    <w:rsid w:val="4B1298F4"/>
    <w:rsid w:val="4B13FC2B"/>
    <w:rsid w:val="4B2207D0"/>
    <w:rsid w:val="4C2CC482"/>
    <w:rsid w:val="4C4EE021"/>
    <w:rsid w:val="4CA12BFB"/>
    <w:rsid w:val="4D223862"/>
    <w:rsid w:val="4D60FD85"/>
    <w:rsid w:val="4DD3E0AD"/>
    <w:rsid w:val="4EBC57D6"/>
    <w:rsid w:val="4F87346F"/>
    <w:rsid w:val="520F5254"/>
    <w:rsid w:val="52161437"/>
    <w:rsid w:val="523305D2"/>
    <w:rsid w:val="52A208DB"/>
    <w:rsid w:val="5305E5B3"/>
    <w:rsid w:val="534B6BAE"/>
    <w:rsid w:val="53BDD237"/>
    <w:rsid w:val="54627609"/>
    <w:rsid w:val="54A1B614"/>
    <w:rsid w:val="557F89BA"/>
    <w:rsid w:val="565F0D8F"/>
    <w:rsid w:val="56A3675F"/>
    <w:rsid w:val="5712C7A7"/>
    <w:rsid w:val="5766A5B6"/>
    <w:rsid w:val="576F7729"/>
    <w:rsid w:val="5805C7ED"/>
    <w:rsid w:val="58A24756"/>
    <w:rsid w:val="58BCDA4B"/>
    <w:rsid w:val="590A63F9"/>
    <w:rsid w:val="59475B95"/>
    <w:rsid w:val="595CBE8B"/>
    <w:rsid w:val="5998A931"/>
    <w:rsid w:val="5A799741"/>
    <w:rsid w:val="5B25AE6A"/>
    <w:rsid w:val="5B39CAE1"/>
    <w:rsid w:val="5E07F11C"/>
    <w:rsid w:val="605523A4"/>
    <w:rsid w:val="616FDFED"/>
    <w:rsid w:val="61BB4A08"/>
    <w:rsid w:val="61F0F405"/>
    <w:rsid w:val="620A1C62"/>
    <w:rsid w:val="62F5F1CF"/>
    <w:rsid w:val="635D2A38"/>
    <w:rsid w:val="63B0DE3E"/>
    <w:rsid w:val="63D04B29"/>
    <w:rsid w:val="643CAFE8"/>
    <w:rsid w:val="646C0A0E"/>
    <w:rsid w:val="64BD5FC7"/>
    <w:rsid w:val="65E3F126"/>
    <w:rsid w:val="66665A85"/>
    <w:rsid w:val="66839D19"/>
    <w:rsid w:val="6712822A"/>
    <w:rsid w:val="680BE18B"/>
    <w:rsid w:val="6953FBD6"/>
    <w:rsid w:val="6976141B"/>
    <w:rsid w:val="6A0C0DED"/>
    <w:rsid w:val="6ABFF7DB"/>
    <w:rsid w:val="6AC1263E"/>
    <w:rsid w:val="6AC1C6E0"/>
    <w:rsid w:val="6AC7F482"/>
    <w:rsid w:val="6B97D64B"/>
    <w:rsid w:val="6BCCAA1C"/>
    <w:rsid w:val="6C5B29EC"/>
    <w:rsid w:val="6CA10327"/>
    <w:rsid w:val="6CCCF0E9"/>
    <w:rsid w:val="6CD522B9"/>
    <w:rsid w:val="6D158D11"/>
    <w:rsid w:val="6E300233"/>
    <w:rsid w:val="6E8876D0"/>
    <w:rsid w:val="6F61131E"/>
    <w:rsid w:val="6FC8643D"/>
    <w:rsid w:val="70115702"/>
    <w:rsid w:val="709B0519"/>
    <w:rsid w:val="710142C6"/>
    <w:rsid w:val="71571CDB"/>
    <w:rsid w:val="71FB751B"/>
    <w:rsid w:val="72A24F11"/>
    <w:rsid w:val="7347929C"/>
    <w:rsid w:val="73A2E830"/>
    <w:rsid w:val="745CA1F8"/>
    <w:rsid w:val="7519B32D"/>
    <w:rsid w:val="75D6A0C1"/>
    <w:rsid w:val="76195327"/>
    <w:rsid w:val="76DA88F2"/>
    <w:rsid w:val="771A07F3"/>
    <w:rsid w:val="790EBB31"/>
    <w:rsid w:val="7A4EA4D8"/>
    <w:rsid w:val="7B2FF5CC"/>
    <w:rsid w:val="7DB79B9A"/>
    <w:rsid w:val="7F0FA3FC"/>
    <w:rsid w:val="7F31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  <w:style w:type="table" w:styleId="Mkatabulky">
    <w:name w:val="Table Grid"/>
    <w:basedOn w:val="Normlntabulka"/>
    <w:uiPriority w:val="39"/>
    <w:rsid w:val="0015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4FD2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a.kolarikova@crestco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fihome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Tereza Štosová</cp:lastModifiedBy>
  <cp:revision>2</cp:revision>
  <cp:lastPrinted>2022-06-16T11:40:00Z</cp:lastPrinted>
  <dcterms:created xsi:type="dcterms:W3CDTF">2022-07-21T13:07:00Z</dcterms:created>
  <dcterms:modified xsi:type="dcterms:W3CDTF">2022-07-21T13:07:00Z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